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Тарифицированный перечень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 xml:space="preserve">№ </w:t>
      </w:r>
      <w:r>
        <w:rPr>
          <w:rFonts w:cs="Times New Roman" w:ascii="Times New Roman" w:hAnsi="Times New Roman"/>
          <w:sz w:val="32"/>
          <w:szCs w:val="32"/>
          <w:u w:val="single"/>
        </w:rPr>
        <w:t>134 по ул. Широтная г.Тюмень</w:t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cs="Times New Roman" w:ascii="Times New Roman" w:hAnsi="Times New Roman"/>
          <w:sz w:val="32"/>
          <w:szCs w:val="32"/>
          <w:u w:val="none"/>
        </w:rPr>
        <w:t>С 01.01.2022 года</w:t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tbl>
      <w:tblPr>
        <w:tblW w:w="990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691"/>
        <w:gridCol w:w="2475"/>
      </w:tblGrid>
      <w:tr>
        <w:trPr>
          <w:trHeight w:val="120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ул. Широтная,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д. 134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Размер платы за содержание жилого помещения с м.кв.: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30,81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Управление многоквартирным домом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Текущий ремонт  общего имущества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5,78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организации мест для накопления.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коллективных (общедомовых) приборов учета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оборудования, необходимого для производства и (или) предоставления коммунальных услуг по отоплению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Аварийно-диспетчерское обслуживание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земельного участка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3,51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3,56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5,62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Техническое обслуживание домофона и антенны*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0,73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5078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5078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5078d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unhideWhenUsed/>
    <w:rsid w:val="00f31583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07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8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a7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Таблица простая 21"/>
    <w:basedOn w:val="a1"/>
    <w:uiPriority w:val="42"/>
    <w:rsid w:val="00ea7d7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11">
    <w:name w:val="Таблица простая 11"/>
    <w:basedOn w:val="a1"/>
    <w:uiPriority w:val="41"/>
    <w:rsid w:val="00ea7d7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ea7d7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31">
    <w:name w:val="Таблица простая 31"/>
    <w:basedOn w:val="a1"/>
    <w:uiPriority w:val="43"/>
    <w:rsid w:val="00ea7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LibreOffice/7.2.4.1$Windows_X86_64 LibreOffice_project/27d75539669ac387bb498e35313b970b7fe9c4f9</Application>
  <AppVersion>15.0000</AppVersion>
  <Pages>1</Pages>
  <Words>131</Words>
  <Characters>877</Characters>
  <CharactersWithSpaces>967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2022-01-24T05:32:00Z</dcterms:created>
  <dc:creator>User</dc:creator>
  <dc:description/>
  <dc:language>ru-RU</dc:language>
  <cp:lastModifiedBy/>
  <cp:lastPrinted>2022-02-10T15:03:33Z</cp:lastPrinted>
  <dcterms:modified xsi:type="dcterms:W3CDTF">2022-02-10T17:15:10Z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